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59" w:rsidRDefault="005A5F59" w:rsidP="005A5F59">
      <w:pPr>
        <w:spacing w:after="8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fr-CA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sz w:val="30"/>
          <w:szCs w:val="30"/>
          <w:lang w:eastAsia="fr-CA"/>
        </w:rPr>
        <w:t>Analyse démographique pour la prise des décisions.</w:t>
      </w:r>
      <w:r>
        <w:rPr>
          <w:rFonts w:ascii="Times New Roman" w:eastAsia="SimSun" w:hAnsi="Times New Roman" w:cs="Times New Roman"/>
          <w:b/>
          <w:sz w:val="28"/>
          <w:szCs w:val="24"/>
          <w:lang w:eastAsia="fr-CA"/>
        </w:rPr>
        <w:t xml:space="preserve"> </w:t>
      </w:r>
    </w:p>
    <w:p w:rsidR="005A5F59" w:rsidRDefault="005A5F59" w:rsidP="005A5F59">
      <w:pPr>
        <w:spacing w:after="8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fr-CA"/>
        </w:rPr>
      </w:pPr>
      <w:r>
        <w:rPr>
          <w:rFonts w:ascii="Times New Roman" w:eastAsia="SimSun" w:hAnsi="Times New Roman" w:cs="Times New Roman"/>
          <w:b/>
          <w:sz w:val="27"/>
          <w:szCs w:val="27"/>
          <w:lang w:eastAsia="fr-CA"/>
        </w:rPr>
        <w:t>Tendances, et inégalités de mortalité et de fécondité en Afrique francophone :</w:t>
      </w:r>
      <w:r>
        <w:rPr>
          <w:rFonts w:ascii="Times New Roman" w:eastAsia="SimSun" w:hAnsi="Times New Roman" w:cs="Times New Roman"/>
          <w:b/>
          <w:sz w:val="28"/>
          <w:szCs w:val="24"/>
          <w:lang w:eastAsia="fr-CA"/>
        </w:rPr>
        <w:t xml:space="preserve"> </w:t>
      </w:r>
    </w:p>
    <w:p w:rsidR="005A5F59" w:rsidRDefault="005A5F59" w:rsidP="005A5F59">
      <w:pPr>
        <w:spacing w:after="8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fr-CA"/>
        </w:rPr>
      </w:pPr>
      <w:r>
        <w:rPr>
          <w:rFonts w:ascii="Times New Roman" w:eastAsia="SimSun" w:hAnsi="Times New Roman" w:cs="Times New Roman"/>
          <w:b/>
          <w:sz w:val="27"/>
          <w:szCs w:val="27"/>
          <w:lang w:eastAsia="fr-CA"/>
        </w:rPr>
        <w:t>les outils en ligne de l’UNFPA / UIESP pour l'estimation démographique.</w:t>
      </w:r>
      <w:r>
        <w:rPr>
          <w:rFonts w:ascii="Times New Roman" w:eastAsia="SimSun" w:hAnsi="Times New Roman" w:cs="Times New Roman"/>
          <w:b/>
          <w:sz w:val="28"/>
          <w:szCs w:val="24"/>
          <w:lang w:eastAsia="fr-CA"/>
        </w:rPr>
        <w:t xml:space="preserve"> </w:t>
      </w:r>
    </w:p>
    <w:p w:rsidR="005A5F59" w:rsidRDefault="005A5F59" w:rsidP="005A5F59"/>
    <w:p w:rsidR="008E4EA4" w:rsidRDefault="005A5F59" w:rsidP="005A5F59">
      <w:pPr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>Exercice 3 en groupes : logits</w:t>
      </w:r>
      <w:r w:rsidR="00F117AF">
        <w:rPr>
          <w:rStyle w:val="Strong"/>
          <w:rFonts w:ascii="Times New Roman" w:hAnsi="Times New Roman" w:cs="Times New Roman"/>
          <w:sz w:val="28"/>
          <w:szCs w:val="28"/>
        </w:rPr>
        <w:t>.</w:t>
      </w:r>
    </w:p>
    <w:p w:rsidR="005A5F59" w:rsidRDefault="005A5F59" w:rsidP="005A5F59">
      <w:r>
        <w:rPr>
          <w:rStyle w:val="Strong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A5F59" w:rsidRDefault="005A5F59">
      <w:r>
        <w:t xml:space="preserve">Dans plusieurs applications, soit fécondité soit mortalité, il est nécessaire de convertir une série de probabilités de survivre (mourir) dans une nouvelle série en utilisant </w:t>
      </w:r>
      <w:r w:rsidR="00F117AF">
        <w:t>un</w:t>
      </w:r>
      <w:r>
        <w:t xml:space="preserve"> système de modèles basées sur des ‘standards’ (table de mortalité de référence).</w:t>
      </w:r>
      <w:r w:rsidR="00F117AF">
        <w:t xml:space="preserve">  Cet exercice est </w:t>
      </w:r>
      <w:r w:rsidR="001E365A">
        <w:t>d’</w:t>
      </w:r>
      <w:r w:rsidR="00F117AF">
        <w:t xml:space="preserve">assurer que </w:t>
      </w:r>
      <w:r w:rsidR="001E365A">
        <w:t xml:space="preserve">vous avez </w:t>
      </w:r>
      <w:r w:rsidR="002B02F0">
        <w:t>maitrisé</w:t>
      </w:r>
      <w:r w:rsidR="001E365A">
        <w:t xml:space="preserve"> </w:t>
      </w:r>
      <w:r w:rsidR="00F117AF">
        <w:t>le sy</w:t>
      </w:r>
      <w:r w:rsidR="001E365A">
        <w:t>stème de standards et de logits…</w:t>
      </w:r>
    </w:p>
    <w:p w:rsidR="001E365A" w:rsidRDefault="001E365A"/>
    <w:p w:rsidR="001E365A" w:rsidRPr="001E365A" w:rsidRDefault="001E365A" w:rsidP="001E365A">
      <w:pPr>
        <w:pStyle w:val="ListParagraph"/>
        <w:numPr>
          <w:ilvl w:val="0"/>
          <w:numId w:val="2"/>
        </w:numPr>
        <w:rPr>
          <w:rStyle w:val="Strong"/>
        </w:rPr>
      </w:pPr>
      <w:r w:rsidRPr="001E365A">
        <w:rPr>
          <w:rStyle w:val="Strong"/>
        </w:rPr>
        <w:t xml:space="preserve"> FONCTION LOGIT.</w:t>
      </w:r>
    </w:p>
    <w:p w:rsidR="001E365A" w:rsidRDefault="001E365A" w:rsidP="001E365A">
      <w:r>
        <w:t>Copier cette table dans un tableur Excel. Calculer les logits des proportions P(x), en utilisant les formules dans le Manuel, chapitre 31.  Les formules en Excel sont les suivants :</w:t>
      </w:r>
    </w:p>
    <w:p w:rsidR="001E365A" w:rsidRDefault="001E365A" w:rsidP="001E365A">
      <w:r>
        <w:t>Logit P(x) =0.5*(LN((1-P(x))/P(x)</w:t>
      </w:r>
      <w:r w:rsidRPr="001E365A">
        <w:t>))</w:t>
      </w:r>
      <w:r>
        <w:tab/>
      </w:r>
      <w:r>
        <w:tab/>
      </w:r>
      <w:r>
        <w:tab/>
      </w:r>
      <w:r>
        <w:tab/>
      </w:r>
      <w:r>
        <w:tab/>
        <w:t>Formule A</w:t>
      </w:r>
    </w:p>
    <w:p w:rsidR="001E365A" w:rsidRDefault="001E365A" w:rsidP="001E365A">
      <w:r>
        <w:t>Et</w:t>
      </w:r>
    </w:p>
    <w:p w:rsidR="001E365A" w:rsidRDefault="001E365A" w:rsidP="001E365A">
      <w:r>
        <w:t>Antilogit P(x) = 1/((1+EXP(2*logit(x)</w:t>
      </w:r>
      <w:r w:rsidRPr="001E365A">
        <w:t>)))</w:t>
      </w:r>
      <w:r>
        <w:tab/>
      </w:r>
      <w:r>
        <w:tab/>
      </w:r>
      <w:r>
        <w:tab/>
      </w:r>
      <w:r>
        <w:tab/>
      </w:r>
      <w:r>
        <w:tab/>
        <w:t>Formule B</w:t>
      </w:r>
    </w:p>
    <w:p w:rsidR="001E365A" w:rsidRDefault="001E365A" w:rsidP="001E365A">
      <w:r>
        <w:t>Construire une graph</w:t>
      </w:r>
      <w:r w:rsidR="002B02F0">
        <w:t>ique</w:t>
      </w:r>
      <w:r>
        <w:t xml:space="preserve"> avec les valeurs de P(x) et logit P(x).</w:t>
      </w:r>
    </w:p>
    <w:tbl>
      <w:tblPr>
        <w:tblW w:w="3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2"/>
        <w:gridCol w:w="1417"/>
      </w:tblGrid>
      <w:tr w:rsidR="001E365A" w:rsidRPr="001E365A" w:rsidTr="001E36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P(</w:t>
            </w: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Logit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</w:t>
            </w: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(x)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Antilogi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 P</w:t>
            </w: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(x)</w:t>
            </w:r>
          </w:p>
        </w:tc>
      </w:tr>
      <w:tr w:rsidR="001E365A" w:rsidRPr="001E365A" w:rsidTr="001E36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0.050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1.472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0.050</w:t>
            </w:r>
          </w:p>
        </w:tc>
      </w:tr>
      <w:tr w:rsidR="001E365A" w:rsidRPr="001E365A" w:rsidTr="001E36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1.099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0.100</w:t>
            </w:r>
          </w:p>
        </w:tc>
      </w:tr>
      <w:tr w:rsidR="001E365A" w:rsidRPr="001E365A" w:rsidTr="001E36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0.150</w:t>
            </w:r>
          </w:p>
        </w:tc>
      </w:tr>
      <w:tr w:rsidR="001E365A" w:rsidRPr="001E365A" w:rsidTr="001E36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E365A" w:rsidRPr="001E365A" w:rsidTr="001E36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0.250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E365A" w:rsidRPr="001E365A" w:rsidTr="001E36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E365A" w:rsidRPr="001E365A" w:rsidTr="001E36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0.350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E365A" w:rsidRPr="001E365A" w:rsidTr="001E36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E365A" w:rsidRPr="001E365A" w:rsidTr="001E36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0.450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E365A" w:rsidRPr="001E365A" w:rsidTr="001E36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E365A" w:rsidRPr="001E365A" w:rsidTr="001E36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0.550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E365A" w:rsidRPr="001E365A" w:rsidTr="001E36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E365A" w:rsidRPr="001E365A" w:rsidTr="001E36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0.650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E365A" w:rsidRPr="001E365A" w:rsidTr="001E36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0.700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E365A" w:rsidRPr="001E365A" w:rsidTr="001E36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0.750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E365A" w:rsidRPr="001E365A" w:rsidTr="001E36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E365A" w:rsidRPr="001E365A" w:rsidTr="001E36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E365A" w:rsidRPr="001E365A" w:rsidTr="001E36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E365A" w:rsidRPr="001E365A" w:rsidTr="001E36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E365A">
              <w:rPr>
                <w:rFonts w:ascii="Calibri" w:eastAsia="Times New Roman" w:hAnsi="Calibri" w:cs="Times New Roman"/>
                <w:color w:val="000000"/>
                <w:lang w:eastAsia="fr-FR"/>
              </w:rPr>
              <w:t>0.950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5A" w:rsidRPr="001E365A" w:rsidRDefault="001E365A" w:rsidP="001E3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1E365A" w:rsidRDefault="001E365A" w:rsidP="001E365A">
      <w:pPr>
        <w:pStyle w:val="ListParagraph"/>
      </w:pPr>
    </w:p>
    <w:p w:rsidR="005A5F59" w:rsidRDefault="005A5F59"/>
    <w:p w:rsidR="005A5F59" w:rsidRPr="005A5F59" w:rsidRDefault="00F117AF" w:rsidP="005A5F59">
      <w:r>
        <w:t xml:space="preserve">Donc, on peut </w:t>
      </w:r>
      <w:r w:rsidR="002428FC">
        <w:t>définir</w:t>
      </w:r>
      <w:r>
        <w:t xml:space="preserve"> le logit de</w:t>
      </w:r>
      <w:r w:rsidR="005A5F59" w:rsidRPr="005A5F59">
        <w:t xml:space="preserve"> </w:t>
      </w:r>
      <w:r w:rsidR="005A5F59" w:rsidRPr="005A5F59">
        <w:rPr>
          <w:i/>
          <w:iCs/>
        </w:rPr>
        <w:t>l</w:t>
      </w:r>
      <w:r w:rsidR="005A5F59" w:rsidRPr="005A5F59">
        <w:t>(</w:t>
      </w:r>
      <w:r w:rsidR="005A5F59" w:rsidRPr="005A5F59">
        <w:rPr>
          <w:i/>
          <w:iCs/>
        </w:rPr>
        <w:t>x</w:t>
      </w:r>
      <w:r>
        <w:t>) comme</w:t>
      </w:r>
    </w:p>
    <w:p w:rsidR="005A5F59" w:rsidRPr="005A5F59" w:rsidRDefault="005A5F59" w:rsidP="005A5F59">
      <w:r w:rsidRPr="005A5F59">
        <w:rPr>
          <w:i/>
          <w:iCs/>
        </w:rPr>
        <w:t>Y</w:t>
      </w:r>
      <w:r w:rsidRPr="005A5F59">
        <w:t>(</w:t>
      </w:r>
      <w:r w:rsidRPr="005A5F59">
        <w:rPr>
          <w:i/>
          <w:iCs/>
        </w:rPr>
        <w:t>x</w:t>
      </w:r>
      <w:r w:rsidRPr="005A5F59">
        <w:t>) = logit(</w:t>
      </w:r>
      <w:r w:rsidRPr="005A5F59">
        <w:rPr>
          <w:i/>
          <w:iCs/>
        </w:rPr>
        <w:t>l</w:t>
      </w:r>
      <w:r w:rsidRPr="005A5F59">
        <w:t>(</w:t>
      </w:r>
      <w:r w:rsidRPr="005A5F59">
        <w:rPr>
          <w:i/>
          <w:iCs/>
        </w:rPr>
        <w:t>x</w:t>
      </w:r>
      <w:r w:rsidRPr="005A5F59">
        <w:t>))=−</w:t>
      </w:r>
      <w:r>
        <w:t xml:space="preserve">0.5 </w:t>
      </w:r>
      <w:r w:rsidR="000514D9">
        <w:t>[</w:t>
      </w:r>
      <w:r w:rsidRPr="005A5F59">
        <w:t>ln(</w:t>
      </w:r>
      <w:r w:rsidRPr="005A5F59">
        <w:rPr>
          <w:i/>
          <w:iCs/>
        </w:rPr>
        <w:t>l</w:t>
      </w:r>
      <w:r w:rsidRPr="005A5F59">
        <w:t>(</w:t>
      </w:r>
      <w:r w:rsidRPr="005A5F59">
        <w:rPr>
          <w:i/>
          <w:iCs/>
        </w:rPr>
        <w:t>x</w:t>
      </w:r>
      <w:r w:rsidRPr="005A5F59">
        <w:t>)</w:t>
      </w:r>
      <w:r w:rsidR="001E365A">
        <w:t>/</w:t>
      </w:r>
      <w:r w:rsidRPr="005A5F59">
        <w:t>1−</w:t>
      </w:r>
      <w:r w:rsidRPr="005A5F59">
        <w:rPr>
          <w:i/>
          <w:iCs/>
        </w:rPr>
        <w:t>l</w:t>
      </w:r>
      <w:r w:rsidRPr="005A5F59">
        <w:t>(</w:t>
      </w:r>
      <w:r w:rsidRPr="005A5F59">
        <w:rPr>
          <w:i/>
          <w:iCs/>
        </w:rPr>
        <w:t>x</w:t>
      </w:r>
      <w:r w:rsidRPr="005A5F59">
        <w:t>)) </w:t>
      </w:r>
      <w:r w:rsidR="000514D9">
        <w:t>]</w:t>
      </w:r>
      <w:r>
        <w:tab/>
      </w:r>
      <w:r>
        <w:tab/>
      </w:r>
      <w:r>
        <w:tab/>
      </w:r>
      <w:r>
        <w:tab/>
      </w:r>
      <w:r>
        <w:tab/>
      </w:r>
      <w:r w:rsidR="00F117AF">
        <w:tab/>
      </w:r>
      <w:r w:rsidRPr="005A5F59">
        <w:t>Equation 1</w:t>
      </w:r>
      <w:r w:rsidRPr="005A5F59">
        <w:br/>
      </w:r>
    </w:p>
    <w:p w:rsidR="005A5F59" w:rsidRPr="005A5F59" w:rsidRDefault="00F117AF" w:rsidP="005A5F59">
      <w:r>
        <w:t>Et puis les relations suivan</w:t>
      </w:r>
      <w:r w:rsidR="000514D9">
        <w:t>tes sont supportables pour tous</w:t>
      </w:r>
      <w:r>
        <w:t xml:space="preserve"> les </w:t>
      </w:r>
      <w:r w:rsidR="002428FC">
        <w:t>âges</w:t>
      </w:r>
      <w:r>
        <w:t> x:</w:t>
      </w:r>
    </w:p>
    <w:p w:rsidR="005A5F59" w:rsidRPr="005A5F59" w:rsidRDefault="005A5F59" w:rsidP="005A5F59">
      <w:r w:rsidRPr="005A5F59">
        <w:rPr>
          <w:i/>
          <w:iCs/>
        </w:rPr>
        <w:t>Y</w:t>
      </w:r>
      <w:r w:rsidRPr="005A5F59">
        <w:t>(</w:t>
      </w:r>
      <w:r w:rsidRPr="005A5F59">
        <w:rPr>
          <w:i/>
          <w:iCs/>
        </w:rPr>
        <w:t>x</w:t>
      </w:r>
      <w:r w:rsidRPr="005A5F59">
        <w:t>)=</w:t>
      </w:r>
      <w:r w:rsidRPr="005A5F59">
        <w:rPr>
          <w:i/>
          <w:iCs/>
        </w:rPr>
        <w:t>α</w:t>
      </w:r>
      <w:r w:rsidRPr="005A5F59">
        <w:t>+</w:t>
      </w:r>
      <w:r w:rsidR="00F117AF">
        <w:t xml:space="preserve"> </w:t>
      </w:r>
      <w:r w:rsidRPr="005A5F59">
        <w:rPr>
          <w:i/>
          <w:iCs/>
        </w:rPr>
        <w:t>β</w:t>
      </w:r>
      <w:r w:rsidR="00F117AF">
        <w:rPr>
          <w:i/>
          <w:iCs/>
        </w:rPr>
        <w:t xml:space="preserve">. </w:t>
      </w:r>
      <w:r w:rsidRPr="005A5F59">
        <w:rPr>
          <w:i/>
          <w:iCs/>
        </w:rPr>
        <w:t>Y</w:t>
      </w:r>
      <w:r w:rsidRPr="005A5F59">
        <w:rPr>
          <w:rFonts w:ascii="Cambria Math" w:hAnsi="Cambria Math" w:cs="Cambria Math"/>
        </w:rPr>
        <w:t>∗</w:t>
      </w:r>
      <w:r w:rsidRPr="005A5F59">
        <w:t>(</w:t>
      </w:r>
      <w:r w:rsidRPr="005A5F59">
        <w:rPr>
          <w:i/>
          <w:iCs/>
        </w:rPr>
        <w:t>x</w:t>
      </w:r>
      <w:r w:rsidRPr="005A5F59">
        <w:t>)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5F59">
        <w:t>Equation 2</w:t>
      </w:r>
      <w:r w:rsidRPr="005A5F59">
        <w:br/>
      </w:r>
    </w:p>
    <w:p w:rsidR="005A5F59" w:rsidRDefault="00F117AF" w:rsidP="005A5F59">
      <w:r>
        <w:t xml:space="preserve">Ou </w:t>
      </w:r>
      <w:r w:rsidR="005A5F59" w:rsidRPr="005A5F59">
        <w:rPr>
          <w:i/>
          <w:iCs/>
        </w:rPr>
        <w:t>Y</w:t>
      </w:r>
      <w:r w:rsidR="005A5F59" w:rsidRPr="005A5F59">
        <w:t xml:space="preserve"> (</w:t>
      </w:r>
      <w:r w:rsidR="005A5F59" w:rsidRPr="005A5F59">
        <w:rPr>
          <w:i/>
          <w:iCs/>
        </w:rPr>
        <w:t>x</w:t>
      </w:r>
      <w:r w:rsidR="005A5F59" w:rsidRPr="005A5F59">
        <w:t xml:space="preserve">) and </w:t>
      </w:r>
      <w:r w:rsidR="005A5F59" w:rsidRPr="005A5F59">
        <w:rPr>
          <w:i/>
          <w:iCs/>
        </w:rPr>
        <w:t>Y</w:t>
      </w:r>
      <w:r w:rsidR="005A5F59" w:rsidRPr="005A5F59">
        <w:rPr>
          <w:vertAlign w:val="superscript"/>
        </w:rPr>
        <w:t>*</w:t>
      </w:r>
      <w:r w:rsidR="005A5F59" w:rsidRPr="005A5F59">
        <w:t>(</w:t>
      </w:r>
      <w:r w:rsidR="005A5F59" w:rsidRPr="005A5F59">
        <w:rPr>
          <w:i/>
          <w:iCs/>
        </w:rPr>
        <w:t>x</w:t>
      </w:r>
      <w:r w:rsidR="005A5F59" w:rsidRPr="005A5F59">
        <w:t xml:space="preserve">) </w:t>
      </w:r>
      <w:r>
        <w:t xml:space="preserve">sont les </w:t>
      </w:r>
      <w:r w:rsidR="005A5F59" w:rsidRPr="005A5F59">
        <w:t xml:space="preserve">logits </w:t>
      </w:r>
      <w:r>
        <w:t xml:space="preserve">de la </w:t>
      </w:r>
      <w:r w:rsidR="002428FC">
        <w:t>probabilité</w:t>
      </w:r>
      <w:r>
        <w:t xml:space="preserve"> de survivre by </w:t>
      </w:r>
      <w:r w:rsidR="002428FC" w:rsidRPr="005A5F59">
        <w:t>âge</w:t>
      </w:r>
      <w:r>
        <w:t xml:space="preserve"> x</w:t>
      </w:r>
      <w:r w:rsidR="005A5F59" w:rsidRPr="005A5F59">
        <w:t>,</w:t>
      </w:r>
      <w:r w:rsidR="005A5F59" w:rsidRPr="005A5F59">
        <w:rPr>
          <w:i/>
          <w:iCs/>
        </w:rPr>
        <w:t xml:space="preserve"> l</w:t>
      </w:r>
      <w:r w:rsidR="005A5F59" w:rsidRPr="005A5F59">
        <w:t>(</w:t>
      </w:r>
      <w:r w:rsidR="005A5F59" w:rsidRPr="005A5F59">
        <w:rPr>
          <w:i/>
          <w:iCs/>
        </w:rPr>
        <w:t>x</w:t>
      </w:r>
      <w:r w:rsidR="005A5F59" w:rsidRPr="005A5F59">
        <w:t xml:space="preserve">) and </w:t>
      </w:r>
      <w:r w:rsidR="005A5F59" w:rsidRPr="005A5F59">
        <w:rPr>
          <w:i/>
          <w:iCs/>
        </w:rPr>
        <w:t>l</w:t>
      </w:r>
      <w:r w:rsidR="005A5F59" w:rsidRPr="005A5F59">
        <w:rPr>
          <w:vertAlign w:val="superscript"/>
        </w:rPr>
        <w:t>*</w:t>
      </w:r>
      <w:r w:rsidR="005A5F59" w:rsidRPr="005A5F59">
        <w:t>(</w:t>
      </w:r>
      <w:r w:rsidR="005A5F59" w:rsidRPr="005A5F59">
        <w:rPr>
          <w:i/>
          <w:iCs/>
        </w:rPr>
        <w:t>x</w:t>
      </w:r>
      <w:r w:rsidR="005A5F59" w:rsidRPr="005A5F59">
        <w:t xml:space="preserve">), </w:t>
      </w:r>
      <w:r>
        <w:t xml:space="preserve">dans deux tables de mortalité </w:t>
      </w:r>
      <w:r w:rsidR="002428FC">
        <w:t>différentes</w:t>
      </w:r>
      <w:r>
        <w:t xml:space="preserve"> et</w:t>
      </w:r>
      <w:r w:rsidR="005A5F59" w:rsidRPr="005A5F59">
        <w:t xml:space="preserve"> </w:t>
      </w:r>
      <w:r w:rsidR="005A5F59" w:rsidRPr="005A5F59">
        <w:rPr>
          <w:i/>
          <w:iCs/>
        </w:rPr>
        <w:t>α</w:t>
      </w:r>
      <w:r w:rsidR="005A5F59" w:rsidRPr="005A5F59">
        <w:t xml:space="preserve"> and </w:t>
      </w:r>
      <w:r w:rsidR="005A5F59" w:rsidRPr="005A5F59">
        <w:rPr>
          <w:i/>
          <w:iCs/>
        </w:rPr>
        <w:t>β</w:t>
      </w:r>
      <w:r>
        <w:t xml:space="preserve"> sont</w:t>
      </w:r>
      <w:r w:rsidR="005A5F59" w:rsidRPr="005A5F59">
        <w:t xml:space="preserve"> constants.</w:t>
      </w:r>
    </w:p>
    <w:p w:rsidR="000514D9" w:rsidRPr="000514D9" w:rsidRDefault="000514D9" w:rsidP="000514D9">
      <w:r>
        <w:t xml:space="preserve">En utilisant ces deux </w:t>
      </w:r>
      <w:r w:rsidR="002428FC">
        <w:t>paramètres</w:t>
      </w:r>
      <w:r>
        <w:t xml:space="preserve"> et un standard choisi, il est possible de </w:t>
      </w:r>
      <w:r w:rsidR="002428FC">
        <w:t>générer</w:t>
      </w:r>
      <w:r>
        <w:t xml:space="preserve"> une table de </w:t>
      </w:r>
      <w:r w:rsidR="002428FC">
        <w:t>mortalité</w:t>
      </w:r>
      <w:r>
        <w:t xml:space="preserve"> </w:t>
      </w:r>
      <w:r w:rsidR="002428FC">
        <w:t>complète</w:t>
      </w:r>
      <w:r>
        <w:t xml:space="preserve"> avec un </w:t>
      </w:r>
      <w:r w:rsidR="002428FC">
        <w:t>radis</w:t>
      </w:r>
      <w:r>
        <w:t xml:space="preserve"> de 1 en </w:t>
      </w:r>
      <w:r w:rsidR="002428FC">
        <w:t>utilisant</w:t>
      </w:r>
      <w:r>
        <w:t xml:space="preserve"> </w:t>
      </w:r>
      <w:r w:rsidR="002428FC">
        <w:t>la</w:t>
      </w:r>
      <w:r>
        <w:t xml:space="preserve"> formule :</w:t>
      </w:r>
    </w:p>
    <w:p w:rsidR="000514D9" w:rsidRDefault="000514D9" w:rsidP="000514D9">
      <w:r w:rsidRPr="000514D9">
        <w:rPr>
          <w:i/>
          <w:iCs/>
        </w:rPr>
        <w:t>l</w:t>
      </w:r>
      <w:r w:rsidRPr="000514D9">
        <w:t>(</w:t>
      </w:r>
      <w:r w:rsidRPr="000514D9">
        <w:rPr>
          <w:i/>
          <w:iCs/>
        </w:rPr>
        <w:t>x</w:t>
      </w:r>
      <w:r w:rsidRPr="000514D9">
        <w:t>)=1</w:t>
      </w:r>
      <w:r>
        <w:t>/[</w:t>
      </w:r>
      <w:r w:rsidRPr="000514D9">
        <w:t>1+exp(</w:t>
      </w:r>
      <w:r w:rsidR="001E365A">
        <w:t>-</w:t>
      </w:r>
      <w:r w:rsidRPr="000514D9">
        <w:t>2(</w:t>
      </w:r>
      <w:r w:rsidRPr="000514D9">
        <w:rPr>
          <w:i/>
          <w:iCs/>
        </w:rPr>
        <w:t>α</w:t>
      </w:r>
      <w:r w:rsidRPr="000514D9">
        <w:t>+</w:t>
      </w:r>
      <w:r w:rsidRPr="000514D9">
        <w:rPr>
          <w:i/>
          <w:iCs/>
        </w:rPr>
        <w:t>βYs</w:t>
      </w:r>
      <w:r w:rsidRPr="000514D9">
        <w:t>(</w:t>
      </w:r>
      <w:r w:rsidRPr="000514D9">
        <w:rPr>
          <w:i/>
          <w:iCs/>
        </w:rPr>
        <w:t>x</w:t>
      </w:r>
      <w:r w:rsidRPr="000514D9">
        <w:t>))) </w:t>
      </w:r>
      <w:r>
        <w:t>]</w:t>
      </w:r>
      <w:r w:rsidRPr="000514D9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Equation 3</w:t>
      </w:r>
    </w:p>
    <w:p w:rsidR="00244EDF" w:rsidRDefault="00244EDF" w:rsidP="000514D9"/>
    <w:p w:rsidR="00244EDF" w:rsidRDefault="00244EDF" w:rsidP="000514D9"/>
    <w:p w:rsidR="000514D9" w:rsidRPr="00244EDF" w:rsidRDefault="00244EDF" w:rsidP="00244EDF">
      <w:pPr>
        <w:pStyle w:val="ListParagraph"/>
        <w:numPr>
          <w:ilvl w:val="0"/>
          <w:numId w:val="2"/>
        </w:numPr>
        <w:rPr>
          <w:rStyle w:val="Strong"/>
        </w:rPr>
      </w:pPr>
      <w:r w:rsidRPr="00244EDF">
        <w:rPr>
          <w:rStyle w:val="Strong"/>
        </w:rPr>
        <w:t xml:space="preserve"> LOGITS ET LES TABLES-TYPES DE </w:t>
      </w:r>
      <w:r>
        <w:rPr>
          <w:rStyle w:val="Strong"/>
        </w:rPr>
        <w:t>MORTALITE</w:t>
      </w:r>
    </w:p>
    <w:p w:rsidR="000514D9" w:rsidRDefault="002428FC" w:rsidP="000514D9">
      <w:r>
        <w:t>Exercice.</w:t>
      </w:r>
    </w:p>
    <w:p w:rsidR="003135B8" w:rsidRDefault="000514D9" w:rsidP="000514D9">
      <w:pPr>
        <w:pStyle w:val="ListParagraph"/>
        <w:numPr>
          <w:ilvl w:val="0"/>
          <w:numId w:val="1"/>
        </w:numPr>
      </w:pPr>
      <w:r>
        <w:t xml:space="preserve"> Regarder </w:t>
      </w:r>
      <w:r w:rsidR="003135B8">
        <w:t xml:space="preserve">la </w:t>
      </w:r>
      <w:r w:rsidR="002428FC">
        <w:t>série</w:t>
      </w:r>
      <w:r w:rsidR="003135B8">
        <w:t xml:space="preserve"> des l(x) d’une table type de </w:t>
      </w:r>
      <w:r w:rsidR="002428FC">
        <w:t>mortalité</w:t>
      </w:r>
      <w:r w:rsidR="003135B8">
        <w:t xml:space="preserve">, NU </w:t>
      </w:r>
      <w:r w:rsidR="002428FC">
        <w:t>Générale</w:t>
      </w:r>
      <w:r w:rsidR="005930D4">
        <w:t xml:space="preserve"> e(x) = 60 et construire une graphique de l(x).</w:t>
      </w:r>
    </w:p>
    <w:p w:rsidR="003135B8" w:rsidRDefault="00594DF2" w:rsidP="000514D9">
      <w:pPr>
        <w:pStyle w:val="ListParagraph"/>
        <w:numPr>
          <w:ilvl w:val="0"/>
          <w:numId w:val="1"/>
        </w:numPr>
      </w:pPr>
      <w:r>
        <w:t>Calculer les logits d’une</w:t>
      </w:r>
      <w:r w:rsidR="003135B8">
        <w:t xml:space="preserve"> </w:t>
      </w:r>
      <w:r w:rsidR="002428FC">
        <w:t>série</w:t>
      </w:r>
      <w:r w:rsidR="003135B8">
        <w:t xml:space="preserve"> de l(x)</w:t>
      </w:r>
      <w:r>
        <w:t>,</w:t>
      </w:r>
      <w:r w:rsidR="003135B8">
        <w:t xml:space="preserve"> </w:t>
      </w:r>
      <w:r>
        <w:t xml:space="preserve">(masculin, </w:t>
      </w:r>
      <w:r w:rsidR="002B02F0">
        <w:t>féminin</w:t>
      </w:r>
      <w:r>
        <w:t xml:space="preserve"> ou total), </w:t>
      </w:r>
      <w:r w:rsidR="003135B8">
        <w:t xml:space="preserve">en </w:t>
      </w:r>
      <w:r w:rsidR="002428FC">
        <w:t>appliquant</w:t>
      </w:r>
      <w:r>
        <w:t xml:space="preserve"> </w:t>
      </w:r>
      <w:r w:rsidR="002B02F0">
        <w:t>la</w:t>
      </w:r>
      <w:r>
        <w:t xml:space="preserve"> formule (A</w:t>
      </w:r>
      <w:r w:rsidR="003135B8">
        <w:t xml:space="preserve">) </w:t>
      </w:r>
      <w:r w:rsidR="002428FC">
        <w:t>au-dessus</w:t>
      </w:r>
      <w:r w:rsidR="003135B8">
        <w:t>.</w:t>
      </w:r>
    </w:p>
    <w:p w:rsidR="003135B8" w:rsidRDefault="003135B8" w:rsidP="007B6C74">
      <w:pPr>
        <w:pStyle w:val="ListParagraph"/>
        <w:numPr>
          <w:ilvl w:val="0"/>
          <w:numId w:val="1"/>
        </w:numPr>
        <w:rPr>
          <w:bCs/>
        </w:rPr>
      </w:pPr>
      <w:r w:rsidRPr="003135B8">
        <w:t xml:space="preserve">Avec </w:t>
      </w:r>
      <w:r w:rsidR="00594DF2">
        <w:rPr>
          <w:bCs/>
        </w:rPr>
        <w:t>alpha= -0.9</w:t>
      </w:r>
      <w:r w:rsidR="005930D4">
        <w:rPr>
          <w:bCs/>
        </w:rPr>
        <w:t xml:space="preserve">, </w:t>
      </w:r>
      <w:r w:rsidR="002B02F0">
        <w:rPr>
          <w:bCs/>
        </w:rPr>
        <w:t>ajouter</w:t>
      </w:r>
      <w:r w:rsidR="007E0F07">
        <w:rPr>
          <w:bCs/>
        </w:rPr>
        <w:t xml:space="preserve"> ce  valeur au logits, </w:t>
      </w:r>
      <w:r w:rsidRPr="003135B8">
        <w:rPr>
          <w:bCs/>
        </w:rPr>
        <w:t>recalculer les logits</w:t>
      </w:r>
      <w:r w:rsidR="00594DF2">
        <w:rPr>
          <w:bCs/>
        </w:rPr>
        <w:t xml:space="preserve"> et les antilogits et construire la graphique de l(x)</w:t>
      </w:r>
      <w:r w:rsidR="005930D4">
        <w:rPr>
          <w:bCs/>
        </w:rPr>
        <w:t>.</w:t>
      </w:r>
    </w:p>
    <w:p w:rsidR="003135B8" w:rsidRDefault="003135B8" w:rsidP="007B6C74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Utiliser </w:t>
      </w:r>
      <w:r w:rsidR="002428FC">
        <w:rPr>
          <w:bCs/>
        </w:rPr>
        <w:t>la formule (</w:t>
      </w:r>
      <w:r w:rsidR="00244EDF">
        <w:rPr>
          <w:bCs/>
        </w:rPr>
        <w:t>B</w:t>
      </w:r>
      <w:r w:rsidR="002428FC">
        <w:rPr>
          <w:bCs/>
        </w:rPr>
        <w:t>) pour transformer les logits dans une nouvelle série de l (x</w:t>
      </w:r>
      <w:r>
        <w:rPr>
          <w:bCs/>
        </w:rPr>
        <w:t>).</w:t>
      </w:r>
      <w:r w:rsidR="005930D4">
        <w:rPr>
          <w:bCs/>
        </w:rPr>
        <w:t xml:space="preserve"> </w:t>
      </w:r>
      <w:r w:rsidR="00244EDF">
        <w:rPr>
          <w:bCs/>
        </w:rPr>
        <w:t>Les a</w:t>
      </w:r>
      <w:r w:rsidR="002B02F0">
        <w:rPr>
          <w:bCs/>
        </w:rPr>
        <w:t>jouter</w:t>
      </w:r>
      <w:r w:rsidR="00244EDF">
        <w:rPr>
          <w:bCs/>
        </w:rPr>
        <w:t xml:space="preserve"> à</w:t>
      </w:r>
      <w:r w:rsidR="005930D4">
        <w:rPr>
          <w:bCs/>
        </w:rPr>
        <w:t xml:space="preserve"> votre graphique.  Noter les </w:t>
      </w:r>
      <w:r w:rsidR="002B02F0">
        <w:rPr>
          <w:bCs/>
        </w:rPr>
        <w:t>différences</w:t>
      </w:r>
      <w:r w:rsidR="005930D4">
        <w:rPr>
          <w:bCs/>
        </w:rPr>
        <w:t>.</w:t>
      </w:r>
    </w:p>
    <w:p w:rsidR="00D5048C" w:rsidRDefault="005930D4" w:rsidP="007B6C74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Retourner sur les logits l(x) dans le table type de </w:t>
      </w:r>
      <w:r w:rsidR="002B02F0">
        <w:rPr>
          <w:bCs/>
        </w:rPr>
        <w:t>mortalité</w:t>
      </w:r>
      <w:r>
        <w:rPr>
          <w:bCs/>
        </w:rPr>
        <w:t xml:space="preserve"> NU.  Cette fois ci, multiplier les logits l(x) par </w:t>
      </w:r>
      <w:r w:rsidR="002B02F0">
        <w:rPr>
          <w:bCs/>
        </w:rPr>
        <w:t>une</w:t>
      </w:r>
      <w:r>
        <w:rPr>
          <w:bCs/>
        </w:rPr>
        <w:t xml:space="preserve"> beta = </w:t>
      </w:r>
      <w:r w:rsidR="00D5048C">
        <w:rPr>
          <w:bCs/>
        </w:rPr>
        <w:t xml:space="preserve">1.3.  Recalculer les nouveaux antilogits et </w:t>
      </w:r>
      <w:r w:rsidR="002B02F0">
        <w:rPr>
          <w:bCs/>
        </w:rPr>
        <w:t>ajouter</w:t>
      </w:r>
      <w:r w:rsidR="00D5048C">
        <w:rPr>
          <w:bCs/>
        </w:rPr>
        <w:t xml:space="preserve"> cette </w:t>
      </w:r>
      <w:r w:rsidR="002B02F0">
        <w:rPr>
          <w:bCs/>
        </w:rPr>
        <w:t>série</w:t>
      </w:r>
      <w:r w:rsidR="00D5048C">
        <w:rPr>
          <w:bCs/>
        </w:rPr>
        <w:t xml:space="preserve"> de l(x) sur votre graphique.  </w:t>
      </w:r>
    </w:p>
    <w:p w:rsidR="00594DF2" w:rsidRDefault="002428FC" w:rsidP="007B6C74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Expérimenter</w:t>
      </w:r>
      <w:r w:rsidR="008B705B">
        <w:rPr>
          <w:bCs/>
        </w:rPr>
        <w:t xml:space="preserve"> avec les changements avec les valeurs </w:t>
      </w:r>
      <w:r>
        <w:rPr>
          <w:bCs/>
        </w:rPr>
        <w:t>d’alpha</w:t>
      </w:r>
      <w:r w:rsidR="008B705B">
        <w:rPr>
          <w:bCs/>
        </w:rPr>
        <w:t xml:space="preserve"> et de</w:t>
      </w:r>
      <w:r w:rsidR="00D5048C">
        <w:rPr>
          <w:bCs/>
        </w:rPr>
        <w:t xml:space="preserve"> beta.  Rassurer-vous que vous avez compris les effets de les changements dans les </w:t>
      </w:r>
      <w:r w:rsidR="002B02F0">
        <w:rPr>
          <w:bCs/>
        </w:rPr>
        <w:t>valeurs</w:t>
      </w:r>
      <w:r w:rsidR="00D5048C">
        <w:rPr>
          <w:bCs/>
        </w:rPr>
        <w:t xml:space="preserve"> de alpha et beta sur les tendances de l(x) par </w:t>
      </w:r>
      <w:r w:rsidR="002B02F0">
        <w:rPr>
          <w:bCs/>
        </w:rPr>
        <w:t>âge</w:t>
      </w:r>
      <w:r w:rsidR="00D5048C">
        <w:rPr>
          <w:bCs/>
        </w:rPr>
        <w:t>.</w:t>
      </w:r>
    </w:p>
    <w:p w:rsidR="00594DF2" w:rsidRDefault="00594DF2">
      <w:pPr>
        <w:rPr>
          <w:bCs/>
        </w:rPr>
      </w:pPr>
    </w:p>
    <w:p w:rsidR="00244EDF" w:rsidRDefault="00244EDF">
      <w:pPr>
        <w:rPr>
          <w:bCs/>
        </w:rPr>
      </w:pPr>
    </w:p>
    <w:p w:rsidR="00244EDF" w:rsidRDefault="00244EDF">
      <w:pPr>
        <w:rPr>
          <w:bCs/>
        </w:rPr>
      </w:pPr>
    </w:p>
    <w:p w:rsidR="00244EDF" w:rsidRDefault="00244EDF">
      <w:pPr>
        <w:rPr>
          <w:bCs/>
        </w:rPr>
      </w:pPr>
      <w:r>
        <w:rPr>
          <w:bCs/>
        </w:rPr>
        <w:br w:type="page"/>
      </w:r>
    </w:p>
    <w:p w:rsidR="00244EDF" w:rsidRDefault="00244EDF">
      <w:pPr>
        <w:rPr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75"/>
        <w:gridCol w:w="1543"/>
        <w:gridCol w:w="1543"/>
        <w:gridCol w:w="1179"/>
        <w:gridCol w:w="960"/>
        <w:gridCol w:w="1140"/>
        <w:gridCol w:w="1140"/>
        <w:gridCol w:w="1171"/>
      </w:tblGrid>
      <w:tr w:rsidR="00594DF2" w:rsidRPr="00594DF2" w:rsidTr="00244EDF">
        <w:trPr>
          <w:trHeight w:val="375"/>
        </w:trPr>
        <w:tc>
          <w:tcPr>
            <w:tcW w:w="9351" w:type="dxa"/>
            <w:gridSpan w:val="8"/>
            <w:noWrap/>
            <w:hideMark/>
          </w:tcPr>
          <w:p w:rsidR="00594DF2" w:rsidRPr="00594DF2" w:rsidRDefault="00244EDF" w:rsidP="00244E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l</w:t>
            </w:r>
            <w:r w:rsid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(X) ET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LOGIT l</w:t>
            </w:r>
            <w:r w:rsid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(X) POUR TABLES DE MORTALITE  e</w:t>
            </w:r>
            <w:r w:rsidR="00594DF2"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vertAlign w:val="subscript"/>
                <w:lang w:eastAsia="fr-FR"/>
              </w:rPr>
              <w:t>0</w:t>
            </w:r>
            <w:r w:rsidR="00594DF2"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=60</w:t>
            </w: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244EDF" w:rsidP="00594D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9C6500"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4265" w:type="dxa"/>
            <w:gridSpan w:val="3"/>
            <w:noWrap/>
            <w:hideMark/>
          </w:tcPr>
          <w:p w:rsidR="00D5048C" w:rsidRPr="00594DF2" w:rsidRDefault="00D5048C" w:rsidP="00594DF2">
            <w:pPr>
              <w:jc w:val="center"/>
              <w:rPr>
                <w:rFonts w:ascii="Calibri" w:eastAsia="Times New Roman" w:hAnsi="Calibri" w:cs="Times New Roman"/>
                <w:color w:val="9C65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9C6500"/>
                <w:sz w:val="24"/>
                <w:szCs w:val="24"/>
                <w:lang w:eastAsia="fr-FR"/>
              </w:rPr>
              <w:t>UN General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244EDF" w:rsidP="00594DF2">
            <w:pPr>
              <w:jc w:val="center"/>
              <w:rPr>
                <w:rFonts w:ascii="Calibri" w:eastAsia="Times New Roman" w:hAnsi="Calibri" w:cs="Times New Roman"/>
                <w:color w:val="9C65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9C6500"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3451" w:type="dxa"/>
            <w:gridSpan w:val="3"/>
            <w:noWrap/>
            <w:hideMark/>
          </w:tcPr>
          <w:p w:rsidR="00D5048C" w:rsidRPr="00594DF2" w:rsidRDefault="00D5048C" w:rsidP="00594DF2">
            <w:pPr>
              <w:jc w:val="center"/>
              <w:rPr>
                <w:rFonts w:ascii="Calibri" w:eastAsia="Times New Roman" w:hAnsi="Calibri" w:cs="Times New Roman"/>
                <w:color w:val="9C65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9C6500"/>
                <w:sz w:val="24"/>
                <w:szCs w:val="24"/>
                <w:lang w:eastAsia="fr-FR"/>
              </w:rPr>
              <w:t>UN General</w:t>
            </w: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Masculin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2B02F0" w:rsidP="00D5048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Féminin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Ensemble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40" w:type="dxa"/>
            <w:noWrap/>
            <w:hideMark/>
          </w:tcPr>
          <w:p w:rsidR="00D5048C" w:rsidRPr="00594DF2" w:rsidRDefault="00D5048C" w:rsidP="00D5048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Masculin</w:t>
            </w:r>
          </w:p>
        </w:tc>
        <w:tc>
          <w:tcPr>
            <w:tcW w:w="1140" w:type="dxa"/>
            <w:noWrap/>
            <w:hideMark/>
          </w:tcPr>
          <w:p w:rsidR="00D5048C" w:rsidRPr="00594DF2" w:rsidRDefault="002B02F0" w:rsidP="00D5048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Féminin</w:t>
            </w:r>
          </w:p>
        </w:tc>
        <w:tc>
          <w:tcPr>
            <w:tcW w:w="1171" w:type="dxa"/>
            <w:noWrap/>
            <w:hideMark/>
          </w:tcPr>
          <w:p w:rsidR="00D5048C" w:rsidRPr="00594DF2" w:rsidRDefault="00D5048C" w:rsidP="00D5048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Ensemble</w:t>
            </w: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140" w:type="dxa"/>
            <w:noWrap/>
            <w:hideMark/>
          </w:tcPr>
          <w:p w:rsidR="00D5048C" w:rsidRPr="00594DF2" w:rsidRDefault="00D5048C" w:rsidP="00D5048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D5048C" w:rsidRPr="00594DF2" w:rsidRDefault="00D5048C" w:rsidP="00D5048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  <w:hideMark/>
          </w:tcPr>
          <w:p w:rsidR="00D5048C" w:rsidRPr="00594DF2" w:rsidRDefault="00D5048C" w:rsidP="00D5048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0.92836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0.92693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0.92766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140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-1.28087</w:t>
            </w:r>
          </w:p>
        </w:tc>
        <w:tc>
          <w:tcPr>
            <w:tcW w:w="1140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-1.27023</w:t>
            </w:r>
          </w:p>
        </w:tc>
        <w:tc>
          <w:tcPr>
            <w:tcW w:w="1171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-1.27566</w:t>
            </w: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0.91674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0.91032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0.91361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140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-1.19943</w:t>
            </w:r>
          </w:p>
        </w:tc>
        <w:tc>
          <w:tcPr>
            <w:tcW w:w="1140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-1.15880</w:t>
            </w:r>
          </w:p>
        </w:tc>
        <w:tc>
          <w:tcPr>
            <w:tcW w:w="1171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-1.17927</w:t>
            </w: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0.91054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0.9016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0.90618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0.90646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0.89599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0.90135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0.9035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0.89202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0.8979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0.89556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0.88204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0.88896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0.89025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0.87607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0.88333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0.88219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0.86718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0.87487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0.87078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0.85511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0.86313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0.85782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0.84083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0.84954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0.84262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0.82393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0.8335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0.82317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0.80388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0.81376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0.79723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0.7798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0.78873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0.76168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0.74919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0.75559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0.71229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0.70816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0.71027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0.64525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0.65206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0.64857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0.55577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0.57615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0.56571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0.44349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0.47642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0.45955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0.31693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0.35512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0.33556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0.19459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0.22682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0.21031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0.09664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0.11544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0.10581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0.03482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0.04262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0.03862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0.00812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0.01039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0.00923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5048C" w:rsidRPr="00594DF2" w:rsidTr="00244EDF">
        <w:trPr>
          <w:trHeight w:val="315"/>
        </w:trPr>
        <w:tc>
          <w:tcPr>
            <w:tcW w:w="675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0.00106</w:t>
            </w:r>
          </w:p>
        </w:tc>
        <w:tc>
          <w:tcPr>
            <w:tcW w:w="1543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0.0015</w:t>
            </w:r>
          </w:p>
        </w:tc>
        <w:tc>
          <w:tcPr>
            <w:tcW w:w="1179" w:type="dxa"/>
            <w:noWrap/>
            <w:hideMark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0.00127</w:t>
            </w:r>
          </w:p>
        </w:tc>
        <w:tc>
          <w:tcPr>
            <w:tcW w:w="960" w:type="dxa"/>
            <w:noWrap/>
            <w:hideMark/>
          </w:tcPr>
          <w:p w:rsidR="00D5048C" w:rsidRPr="00594DF2" w:rsidRDefault="00D5048C" w:rsidP="00D5048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71" w:type="dxa"/>
            <w:noWrap/>
          </w:tcPr>
          <w:p w:rsidR="00D5048C" w:rsidRPr="00594DF2" w:rsidRDefault="00D5048C" w:rsidP="00D5048C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3135B8" w:rsidRDefault="003135B8"/>
    <w:sectPr w:rsidR="00313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21BE"/>
    <w:multiLevelType w:val="hybridMultilevel"/>
    <w:tmpl w:val="27C2C1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63891"/>
    <w:multiLevelType w:val="hybridMultilevel"/>
    <w:tmpl w:val="7FA8DB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59"/>
    <w:rsid w:val="000514D9"/>
    <w:rsid w:val="001E365A"/>
    <w:rsid w:val="002428FC"/>
    <w:rsid w:val="00244EDF"/>
    <w:rsid w:val="002B02F0"/>
    <w:rsid w:val="003135B8"/>
    <w:rsid w:val="003610A0"/>
    <w:rsid w:val="00581461"/>
    <w:rsid w:val="005930D4"/>
    <w:rsid w:val="00594DF2"/>
    <w:rsid w:val="005A5F59"/>
    <w:rsid w:val="007E0F07"/>
    <w:rsid w:val="008B705B"/>
    <w:rsid w:val="008E4EA4"/>
    <w:rsid w:val="00D5048C"/>
    <w:rsid w:val="00F1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5F59"/>
    <w:rPr>
      <w:b/>
      <w:bCs/>
    </w:rPr>
  </w:style>
  <w:style w:type="paragraph" w:styleId="ListParagraph">
    <w:name w:val="List Paragraph"/>
    <w:basedOn w:val="Normal"/>
    <w:uiPriority w:val="34"/>
    <w:qFormat/>
    <w:rsid w:val="000514D9"/>
    <w:pPr>
      <w:ind w:left="720"/>
      <w:contextualSpacing/>
    </w:pPr>
  </w:style>
  <w:style w:type="table" w:styleId="TableGrid">
    <w:name w:val="Table Grid"/>
    <w:basedOn w:val="TableNormal"/>
    <w:uiPriority w:val="39"/>
    <w:rsid w:val="0031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5F59"/>
    <w:rPr>
      <w:b/>
      <w:bCs/>
    </w:rPr>
  </w:style>
  <w:style w:type="paragraph" w:styleId="ListParagraph">
    <w:name w:val="List Paragraph"/>
    <w:basedOn w:val="Normal"/>
    <w:uiPriority w:val="34"/>
    <w:qFormat/>
    <w:rsid w:val="000514D9"/>
    <w:pPr>
      <w:ind w:left="720"/>
      <w:contextualSpacing/>
    </w:pPr>
  </w:style>
  <w:style w:type="table" w:styleId="TableGrid">
    <w:name w:val="Table Grid"/>
    <w:basedOn w:val="TableNormal"/>
    <w:uiPriority w:val="39"/>
    <w:rsid w:val="0031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Hill</dc:creator>
  <cp:lastModifiedBy>Mary Ellen</cp:lastModifiedBy>
  <cp:revision>2</cp:revision>
  <dcterms:created xsi:type="dcterms:W3CDTF">2014-12-04T08:55:00Z</dcterms:created>
  <dcterms:modified xsi:type="dcterms:W3CDTF">2014-12-04T08:55:00Z</dcterms:modified>
</cp:coreProperties>
</file>